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00539B" w:themeColor="accent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"/>
        <w:gridCol w:w="466"/>
        <w:gridCol w:w="4353"/>
        <w:gridCol w:w="1791"/>
        <w:gridCol w:w="3128"/>
      </w:tblGrid>
      <w:tr w:rsidR="00E556A1" w:rsidRPr="00DD55AE" w14:paraId="3A744AE1" w14:textId="77777777" w:rsidTr="0044113F">
        <w:trPr>
          <w:gridBefore w:val="1"/>
          <w:wBefore w:w="8" w:type="dxa"/>
          <w:trHeight w:val="1684"/>
        </w:trPr>
        <w:tc>
          <w:tcPr>
            <w:tcW w:w="6610" w:type="dxa"/>
            <w:gridSpan w:val="3"/>
          </w:tcPr>
          <w:p w14:paraId="58E44302" w14:textId="77777777" w:rsidR="00557819" w:rsidRPr="00027CEA" w:rsidRDefault="00E526EB" w:rsidP="00557819">
            <w:pPr>
              <w:pStyle w:val="Header"/>
              <w:spacing w:before="120"/>
              <w:rPr>
                <w:rFonts w:ascii="Franklin Gothic Medium" w:hAnsi="Franklin Gothic Medium"/>
                <w:color w:val="808080" w:themeColor="background1" w:themeShade="80"/>
                <w:sz w:val="24"/>
                <w:szCs w:val="56"/>
                <w:lang w:val="sr-Latn-RS"/>
              </w:rPr>
            </w:pPr>
            <w:r w:rsidRPr="00027CEA">
              <w:rPr>
                <w:rFonts w:ascii="Franklin Gothic Medium" w:eastAsia="Franklin Gothic Medium" w:hAnsi="Franklin Gothic Medium"/>
                <w:color w:val="808080"/>
                <w:sz w:val="24"/>
                <w:szCs w:val="24"/>
                <w:lang w:val="sr-Latn-RS"/>
              </w:rPr>
              <w:t>Saopštenje za štampu Međunarodne organizacije rada</w:t>
            </w:r>
          </w:p>
          <w:p w14:paraId="47EB7ED7" w14:textId="03648A9A" w:rsidR="00557819" w:rsidRPr="00027CEA" w:rsidRDefault="00E526EB" w:rsidP="00557819">
            <w:pPr>
              <w:pStyle w:val="Heading1"/>
              <w:spacing w:before="120"/>
              <w:rPr>
                <w:lang w:val="sr-Latn-RS"/>
              </w:rPr>
            </w:pPr>
            <w:r w:rsidRPr="00027CEA">
              <w:rPr>
                <w:rFonts w:eastAsia="Arial"/>
                <w:bCs/>
                <w:color w:val="00539B"/>
                <w:szCs w:val="48"/>
                <w:lang w:val="sr-Latn-RS"/>
              </w:rPr>
              <w:t xml:space="preserve">Evropska komisija i </w:t>
            </w:r>
            <w:r w:rsidR="001573B1" w:rsidRPr="00027CEA">
              <w:rPr>
                <w:rFonts w:eastAsia="Arial"/>
                <w:bCs/>
                <w:color w:val="00539B"/>
                <w:szCs w:val="48"/>
                <w:lang w:val="sr-Latn-RS"/>
              </w:rPr>
              <w:t>MOR</w:t>
            </w:r>
            <w:r w:rsidRPr="00027CEA">
              <w:rPr>
                <w:rFonts w:eastAsia="Arial"/>
                <w:bCs/>
                <w:color w:val="00539B"/>
                <w:szCs w:val="48"/>
                <w:lang w:val="sr-Latn-RS"/>
              </w:rPr>
              <w:t xml:space="preserve"> udruženim snagama pružaju podršku mladim ljudima</w:t>
            </w:r>
          </w:p>
          <w:p w14:paraId="306DD326" w14:textId="4325E0A8" w:rsidR="007F2514" w:rsidRPr="00027CEA" w:rsidRDefault="00E526EB" w:rsidP="00415731">
            <w:pPr>
              <w:pStyle w:val="Subhead"/>
              <w:rPr>
                <w:lang w:val="sr-Latn-RS"/>
              </w:rPr>
            </w:pPr>
            <w:r w:rsidRPr="00027CEA">
              <w:rPr>
                <w:rFonts w:eastAsia="Arial" w:cs="Times New Roman"/>
                <w:bCs/>
                <w:color w:val="424244"/>
                <w:szCs w:val="28"/>
                <w:lang w:val="sr-Latn-RS"/>
              </w:rPr>
              <w:t>Uveden novi instrument Evropske komisije i Međunarodne organizacije rada za tehničku pomoć u zap</w:t>
            </w:r>
            <w:r w:rsidR="001573B1" w:rsidRPr="00027CEA">
              <w:rPr>
                <w:rFonts w:eastAsia="Arial" w:cs="Times New Roman"/>
                <w:bCs/>
                <w:color w:val="424244"/>
                <w:szCs w:val="28"/>
                <w:lang w:val="sr-Latn-RS"/>
              </w:rPr>
              <w:t>o</w:t>
            </w:r>
            <w:r w:rsidRPr="00027CEA">
              <w:rPr>
                <w:rFonts w:eastAsia="Arial" w:cs="Times New Roman"/>
                <w:bCs/>
                <w:color w:val="424244"/>
                <w:szCs w:val="28"/>
                <w:lang w:val="sr-Latn-RS"/>
              </w:rPr>
              <w:t>šljavanju mladih na Zapadnom Balkanu</w:t>
            </w:r>
          </w:p>
        </w:tc>
        <w:tc>
          <w:tcPr>
            <w:tcW w:w="3128" w:type="dxa"/>
            <w:tcMar>
              <w:top w:w="57" w:type="dxa"/>
            </w:tcMar>
          </w:tcPr>
          <w:p w14:paraId="004A38DE" w14:textId="77777777" w:rsidR="00557819" w:rsidRPr="00027CEA" w:rsidRDefault="00E526EB" w:rsidP="00557819">
            <w:pPr>
              <w:pStyle w:val="Heading1"/>
              <w:jc w:val="right"/>
              <w:rPr>
                <w:lang w:val="sr-Latn-RS"/>
              </w:rPr>
            </w:pPr>
            <w:r w:rsidRPr="00027CEA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2AD6FAEB" wp14:editId="1464D786">
                  <wp:simplePos x="0" y="0"/>
                  <wp:positionH relativeFrom="margin">
                    <wp:posOffset>273846</wp:posOffset>
                  </wp:positionH>
                  <wp:positionV relativeFrom="paragraph">
                    <wp:posOffset>281278</wp:posOffset>
                  </wp:positionV>
                  <wp:extent cx="1668780" cy="601916"/>
                  <wp:effectExtent l="0" t="0" r="7620" b="8255"/>
                  <wp:wrapTight wrapText="bothSides">
                    <wp:wrapPolygon edited="0">
                      <wp:start x="1479" y="0"/>
                      <wp:lineTo x="0" y="4106"/>
                      <wp:lineTo x="0" y="16422"/>
                      <wp:lineTo x="1726" y="21212"/>
                      <wp:lineTo x="7397" y="21212"/>
                      <wp:lineTo x="21452" y="18475"/>
                      <wp:lineTo x="21452" y="13685"/>
                      <wp:lineTo x="16767" y="10948"/>
                      <wp:lineTo x="21452" y="6843"/>
                      <wp:lineTo x="21452" y="1369"/>
                      <wp:lineTo x="7644" y="0"/>
                      <wp:lineTo x="147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lish Logo Organization Horizontal RGB 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601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56A1" w:rsidRPr="00027CEA" w14:paraId="5AEE300A" w14:textId="77777777" w:rsidTr="0044113F">
        <w:tblPrEx>
          <w:tblBorders>
            <w:top w:val="none" w:sz="0" w:space="0" w:color="auto"/>
          </w:tblBorders>
        </w:tblPrEx>
        <w:trPr>
          <w:trHeight w:val="374"/>
        </w:trPr>
        <w:tc>
          <w:tcPr>
            <w:tcW w:w="9746" w:type="dxa"/>
            <w:gridSpan w:val="5"/>
          </w:tcPr>
          <w:p w14:paraId="1A69765B" w14:textId="77777777" w:rsidR="0038794A" w:rsidRPr="00027CEA" w:rsidRDefault="00E526EB" w:rsidP="006D5A09">
            <w:pPr>
              <w:pStyle w:val="Header"/>
              <w:spacing w:before="120"/>
              <w:rPr>
                <w:b/>
                <w:sz w:val="24"/>
                <w:lang w:val="sr-Latn-RS"/>
              </w:rPr>
            </w:pPr>
            <w:r w:rsidRPr="00027CEA">
              <w:rPr>
                <w:rFonts w:ascii="Franklin Gothic Medium" w:eastAsia="Franklin Gothic Medium" w:hAnsi="Franklin Gothic Medium"/>
                <w:color w:val="808080"/>
                <w:sz w:val="24"/>
                <w:szCs w:val="24"/>
                <w:lang w:val="sr-Latn-RS"/>
              </w:rPr>
              <w:t>ODMAH OBJAVITI</w:t>
            </w:r>
          </w:p>
        </w:tc>
      </w:tr>
      <w:tr w:rsidR="00E556A1" w:rsidRPr="00027CEA" w14:paraId="28E77E30" w14:textId="77777777" w:rsidTr="0044113F">
        <w:tblPrEx>
          <w:tblBorders>
            <w:top w:val="none" w:sz="0" w:space="0" w:color="auto"/>
          </w:tblBorders>
        </w:tblPrEx>
        <w:trPr>
          <w:gridAfter w:val="2"/>
          <w:wAfter w:w="4919" w:type="dxa"/>
          <w:trHeight w:val="374"/>
        </w:trPr>
        <w:tc>
          <w:tcPr>
            <w:tcW w:w="474" w:type="dxa"/>
            <w:gridSpan w:val="2"/>
          </w:tcPr>
          <w:p w14:paraId="7EB5C533" w14:textId="77777777" w:rsidR="0044113F" w:rsidRPr="00027CEA" w:rsidRDefault="00E526EB" w:rsidP="001121ED">
            <w:pPr>
              <w:pStyle w:val="Image-align"/>
              <w:rPr>
                <w:noProof w:val="0"/>
                <w:lang w:val="sr-Latn-RS"/>
              </w:rPr>
            </w:pPr>
            <w:r w:rsidRPr="00027CEA">
              <w:drawing>
                <wp:inline distT="0" distB="0" distL="0" distR="0" wp14:anchorId="7BACF476" wp14:editId="352B4954">
                  <wp:extent cx="219438" cy="219438"/>
                  <wp:effectExtent l="0" t="0" r="9525" b="9525"/>
                  <wp:docPr id="3" name="Picture 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interaction-social_online-blu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38" cy="21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CEA">
              <w:rPr>
                <w:noProof w:val="0"/>
                <w:lang w:val="sr-Latn-RS"/>
              </w:rPr>
              <w:t xml:space="preserve">  </w:t>
            </w:r>
          </w:p>
        </w:tc>
        <w:tc>
          <w:tcPr>
            <w:tcW w:w="4353" w:type="dxa"/>
            <w:vAlign w:val="center"/>
          </w:tcPr>
          <w:p w14:paraId="1E5B2001" w14:textId="77777777" w:rsidR="0044113F" w:rsidRPr="00027CEA" w:rsidRDefault="00E526EB" w:rsidP="001121ED">
            <w:pPr>
              <w:pStyle w:val="Image-align"/>
              <w:rPr>
                <w:noProof w:val="0"/>
                <w:lang w:val="sr-Latn-RS"/>
              </w:rPr>
            </w:pPr>
            <w:r w:rsidRPr="00027CEA">
              <w:rPr>
                <w:rStyle w:val="Hyperlink"/>
                <w:rFonts w:eastAsia="Arial"/>
                <w:b/>
                <w:bCs/>
                <w:noProof w:val="0"/>
                <w:color w:val="00539B"/>
                <w:lang w:val="sr-Latn-RS"/>
              </w:rPr>
              <w:t>www.ilo.org/budapest/</w:t>
            </w:r>
          </w:p>
        </w:tc>
      </w:tr>
      <w:tr w:rsidR="00E556A1" w:rsidRPr="00DD55AE" w14:paraId="063212BC" w14:textId="77777777" w:rsidTr="0044113F">
        <w:tblPrEx>
          <w:tblBorders>
            <w:top w:val="none" w:sz="0" w:space="0" w:color="auto"/>
          </w:tblBorders>
        </w:tblPrEx>
        <w:tc>
          <w:tcPr>
            <w:tcW w:w="4827" w:type="dxa"/>
            <w:gridSpan w:val="3"/>
          </w:tcPr>
          <w:p w14:paraId="53E0B747" w14:textId="77777777" w:rsidR="00D64CCE" w:rsidRPr="00027CEA" w:rsidRDefault="00E526EB" w:rsidP="00D64CCE">
            <w:pPr>
              <w:spacing w:after="0"/>
              <w:rPr>
                <w:lang w:val="sr-Latn-RS"/>
              </w:rPr>
            </w:pPr>
            <w:r w:rsidRPr="00027CEA">
              <w:rPr>
                <w:rFonts w:eastAsia="Arial"/>
                <w:b/>
                <w:bCs/>
                <w:lang w:val="sr-Latn-RS"/>
              </w:rPr>
              <w:t>Datum</w:t>
            </w:r>
            <w:r w:rsidRPr="00027CEA">
              <w:rPr>
                <w:rFonts w:eastAsia="Arial"/>
                <w:lang w:val="sr-Latn-RS"/>
              </w:rPr>
              <w:t>:</w:t>
            </w:r>
            <w:sdt>
              <w:sdtPr>
                <w:rPr>
                  <w:lang w:val="sr-Latn-RS"/>
                </w:rPr>
                <w:alias w:val="Datum objavljivanja"/>
                <w:id w:val="262653468"/>
                <w:placeholder>
                  <w:docPart w:val="6FC4862A223F41EC8B4C69F9B9F88C4C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1-07-2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27CEA">
                  <w:rPr>
                    <w:lang w:val="sr-Latn-RS"/>
                  </w:rPr>
                  <w:t>20/07/2021</w:t>
                </w:r>
              </w:sdtContent>
            </w:sdt>
          </w:p>
          <w:p w14:paraId="6EE3EF57" w14:textId="77777777" w:rsidR="00D64CCE" w:rsidRPr="00027CEA" w:rsidRDefault="00E526EB" w:rsidP="00E05466">
            <w:pPr>
              <w:spacing w:after="0"/>
              <w:rPr>
                <w:lang w:val="sr-Latn-RS"/>
              </w:rPr>
            </w:pPr>
            <w:r w:rsidRPr="00027CEA">
              <w:rPr>
                <w:rFonts w:eastAsia="Arial"/>
                <w:b/>
                <w:bCs/>
                <w:lang w:val="sr-Latn-RS"/>
              </w:rPr>
              <w:t>Kontakt:</w:t>
            </w:r>
            <w:r w:rsidRPr="00027CEA">
              <w:rPr>
                <w:rFonts w:eastAsia="Arial"/>
                <w:lang w:val="sr-Latn-RS"/>
              </w:rPr>
              <w:t xml:space="preserve"> </w:t>
            </w:r>
            <w:sdt>
              <w:sdtPr>
                <w:rPr>
                  <w:lang w:val="sr-Latn-RS"/>
                </w:rPr>
                <w:alias w:val="Autor"/>
                <w:id w:val="505493338"/>
                <w:placeholder>
                  <w:docPart w:val="AA1048763FDE4133AD207567AE9C7FF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Pr="00027CEA">
                  <w:rPr>
                    <w:rFonts w:eastAsia="Arial"/>
                    <w:lang w:val="sr-Latn-RS"/>
                  </w:rPr>
                  <w:t>Veronika Tomka</w:t>
                </w:r>
              </w:sdtContent>
            </w:sdt>
          </w:p>
          <w:p w14:paraId="3961C090" w14:textId="77777777" w:rsidR="000A2AE5" w:rsidRPr="00027CEA" w:rsidRDefault="00E526EB" w:rsidP="000E7C2F">
            <w:pPr>
              <w:spacing w:after="0"/>
              <w:rPr>
                <w:rStyle w:val="Hyperlink"/>
                <w:lang w:val="sr-Latn-RS"/>
              </w:rPr>
            </w:pPr>
            <w:r w:rsidRPr="00027CEA">
              <w:rPr>
                <w:rFonts w:eastAsia="Arial"/>
                <w:b/>
                <w:bCs/>
                <w:lang w:val="sr-Latn-RS"/>
              </w:rPr>
              <w:t>Email:</w:t>
            </w:r>
            <w:r w:rsidRPr="00027CEA">
              <w:rPr>
                <w:rFonts w:eastAsia="Arial"/>
                <w:lang w:val="sr-Latn-RS"/>
              </w:rPr>
              <w:t xml:space="preserve"> </w:t>
            </w:r>
            <w:r w:rsidRPr="00027CEA">
              <w:rPr>
                <w:rFonts w:eastAsia="Arial"/>
                <w:color w:val="00539B"/>
                <w:u w:val="single"/>
                <w:lang w:val="sr-Latn-RS"/>
              </w:rPr>
              <w:t xml:space="preserve">tomka@ilo.org </w:t>
            </w:r>
          </w:p>
          <w:p w14:paraId="762513C6" w14:textId="77777777" w:rsidR="000A2AE5" w:rsidRPr="00027CEA" w:rsidRDefault="00E526EB" w:rsidP="006D5A09">
            <w:pPr>
              <w:spacing w:after="0"/>
              <w:rPr>
                <w:color w:val="00539B" w:themeColor="hyperlink"/>
                <w:u w:val="single"/>
                <w:lang w:val="sr-Latn-RS"/>
              </w:rPr>
            </w:pPr>
            <w:r w:rsidRPr="00027CEA">
              <w:rPr>
                <w:rStyle w:val="Hyperlink"/>
                <w:rFonts w:eastAsia="Arial"/>
                <w:b/>
                <w:bCs/>
                <w:color w:val="auto"/>
                <w:u w:val="none"/>
                <w:lang w:val="sr-Latn-RS"/>
              </w:rPr>
              <w:t xml:space="preserve">Twitter: </w:t>
            </w:r>
            <w:r w:rsidRPr="00027CEA">
              <w:rPr>
                <w:rStyle w:val="Hyperlink"/>
                <w:rFonts w:eastAsia="Arial"/>
                <w:color w:val="auto"/>
                <w:u w:val="none"/>
                <w:lang w:val="sr-Latn-RS"/>
              </w:rPr>
              <w:t>@ilo</w:t>
            </w:r>
          </w:p>
        </w:tc>
        <w:tc>
          <w:tcPr>
            <w:tcW w:w="4919" w:type="dxa"/>
            <w:gridSpan w:val="2"/>
          </w:tcPr>
          <w:p w14:paraId="07748D5E" w14:textId="2F2FE5B3" w:rsidR="0038794A" w:rsidRPr="00027CEA" w:rsidRDefault="00E526EB" w:rsidP="00557819">
            <w:pPr>
              <w:rPr>
                <w:lang w:val="sr-Latn-RS"/>
              </w:rPr>
            </w:pPr>
            <w:r w:rsidRPr="00027CEA">
              <w:rPr>
                <w:rFonts w:eastAsia="Arial"/>
                <w:b/>
                <w:bCs/>
                <w:lang w:val="sr-Latn-RS"/>
              </w:rPr>
              <w:t>Tag</w:t>
            </w:r>
            <w:r w:rsidR="001573B1" w:rsidRPr="00027CEA">
              <w:rPr>
                <w:rFonts w:eastAsia="Arial"/>
                <w:b/>
                <w:bCs/>
                <w:lang w:val="sr-Latn-RS"/>
              </w:rPr>
              <w:t>ovi</w:t>
            </w:r>
            <w:r w:rsidRPr="00027CEA">
              <w:rPr>
                <w:rFonts w:eastAsia="Arial"/>
                <w:b/>
                <w:bCs/>
                <w:lang w:val="sr-Latn-RS"/>
              </w:rPr>
              <w:t>:</w:t>
            </w:r>
            <w:r w:rsidRPr="00027CEA">
              <w:rPr>
                <w:rFonts w:eastAsia="Arial"/>
                <w:lang w:val="sr-Latn-RS"/>
              </w:rPr>
              <w:t xml:space="preserve"> #youthguarantee, #ILO, #EPSCO, #labour, #employment, #ILOyouth, #westernbalkans</w:t>
            </w:r>
          </w:p>
          <w:p w14:paraId="1D5FFB22" w14:textId="77777777" w:rsidR="0038794A" w:rsidRPr="00027CEA" w:rsidRDefault="00E526EB" w:rsidP="0044113F">
            <w:pPr>
              <w:rPr>
                <w:lang w:val="sr-Latn-RS"/>
              </w:rPr>
            </w:pPr>
            <w:r w:rsidRPr="00027CEA">
              <w:rPr>
                <w:rFonts w:eastAsia="Arial"/>
                <w:b/>
                <w:bCs/>
                <w:lang w:val="sr-Latn-RS"/>
              </w:rPr>
              <w:t>Prevod:</w:t>
            </w:r>
            <w:r w:rsidRPr="00027CEA">
              <w:rPr>
                <w:rFonts w:eastAsia="Arial"/>
                <w:lang w:val="sr-Latn-RS"/>
              </w:rPr>
              <w:t xml:space="preserve"> albanski, bosanski, makedonski, crnogorski, srpski</w:t>
            </w:r>
          </w:p>
        </w:tc>
      </w:tr>
    </w:tbl>
    <w:p w14:paraId="5AE313EF" w14:textId="77777777" w:rsidR="00AE274C" w:rsidRDefault="00E526EB" w:rsidP="007A0A02">
      <w:pPr>
        <w:jc w:val="both"/>
        <w:rPr>
          <w:rFonts w:eastAsia="Arial"/>
          <w:lang w:val="sr-Latn-RS"/>
        </w:rPr>
      </w:pPr>
      <w:bookmarkStart w:id="0" w:name="_GoBack"/>
      <w:bookmarkEnd w:id="0"/>
      <w:r w:rsidRPr="00027CEA">
        <w:rPr>
          <w:rFonts w:eastAsia="Arial"/>
          <w:lang w:val="sr-Latn-RS"/>
        </w:rPr>
        <w:t xml:space="preserve">Evropska komisija (EK) i Međunarodna organizacija rada (MOR) </w:t>
      </w:r>
      <w:r w:rsidR="001573B1" w:rsidRPr="00027CEA">
        <w:rPr>
          <w:rFonts w:eastAsia="Arial"/>
          <w:lang w:val="sr-Latn-RS"/>
        </w:rPr>
        <w:t>udružile su snage u podršci</w:t>
      </w:r>
      <w:r w:rsidRPr="00027CEA">
        <w:rPr>
          <w:rFonts w:eastAsia="Arial"/>
          <w:lang w:val="sr-Latn-RS"/>
        </w:rPr>
        <w:t xml:space="preserve"> instituci</w:t>
      </w:r>
      <w:r w:rsidR="001573B1" w:rsidRPr="00027CEA">
        <w:rPr>
          <w:rFonts w:eastAsia="Arial"/>
          <w:lang w:val="sr-Latn-RS"/>
        </w:rPr>
        <w:t>jama</w:t>
      </w:r>
      <w:r w:rsidRPr="00027CEA">
        <w:rPr>
          <w:rFonts w:eastAsia="Arial"/>
          <w:lang w:val="sr-Latn-RS"/>
        </w:rPr>
        <w:t xml:space="preserve"> nadležn</w:t>
      </w:r>
      <w:r w:rsidR="001573B1" w:rsidRPr="00027CEA">
        <w:rPr>
          <w:rFonts w:eastAsia="Arial"/>
          <w:lang w:val="sr-Latn-RS"/>
        </w:rPr>
        <w:t>im</w:t>
      </w:r>
      <w:r w:rsidRPr="00027CEA">
        <w:rPr>
          <w:rFonts w:eastAsia="Arial"/>
          <w:lang w:val="sr-Latn-RS"/>
        </w:rPr>
        <w:t xml:space="preserve"> za politiku zapošljavanja mladih na Zapadnom Balkanu da uvedu </w:t>
      </w:r>
      <w:r w:rsidR="006872AB" w:rsidRPr="00027CEA">
        <w:rPr>
          <w:rFonts w:eastAsia="Arial"/>
          <w:lang w:val="sr-Latn-RS"/>
        </w:rPr>
        <w:t>„</w:t>
      </w:r>
      <w:r w:rsidRPr="00027CEA">
        <w:rPr>
          <w:rFonts w:eastAsia="Arial"/>
          <w:lang w:val="sr-Latn-RS"/>
        </w:rPr>
        <w:t>garanciju za mlade</w:t>
      </w:r>
      <w:r w:rsidR="006872AB" w:rsidRPr="00027CEA">
        <w:rPr>
          <w:rFonts w:eastAsia="Arial"/>
          <w:lang w:val="sr-Latn-RS"/>
        </w:rPr>
        <w:t>“</w:t>
      </w:r>
      <w:r w:rsidRPr="00027CEA">
        <w:rPr>
          <w:rFonts w:eastAsia="Arial"/>
          <w:lang w:val="sr-Latn-RS"/>
        </w:rPr>
        <w:t xml:space="preserve"> (YG). Evropska fondacija za ob</w:t>
      </w:r>
      <w:r w:rsidR="001573B1" w:rsidRPr="00027CEA">
        <w:rPr>
          <w:rFonts w:eastAsia="Arial"/>
          <w:lang w:val="sr-Latn-RS"/>
        </w:rPr>
        <w:t>u</w:t>
      </w:r>
      <w:r w:rsidRPr="00027CEA">
        <w:rPr>
          <w:rFonts w:eastAsia="Arial"/>
          <w:lang w:val="sr-Latn-RS"/>
        </w:rPr>
        <w:t xml:space="preserve">ku (ETF) </w:t>
      </w:r>
      <w:r w:rsidR="001573B1" w:rsidRPr="00027CEA">
        <w:rPr>
          <w:rFonts w:eastAsia="Arial"/>
          <w:lang w:val="sr-Latn-RS"/>
        </w:rPr>
        <w:t>jedan je od partnera</w:t>
      </w:r>
      <w:r w:rsidRPr="00027CEA">
        <w:rPr>
          <w:rFonts w:eastAsia="Arial"/>
          <w:lang w:val="sr-Latn-RS"/>
        </w:rPr>
        <w:t xml:space="preserve"> u realizaciji intervencija. </w:t>
      </w:r>
      <w:r w:rsidR="00027CEA">
        <w:rPr>
          <w:rFonts w:eastAsia="Arial"/>
          <w:lang w:val="sr-Latn-RS"/>
        </w:rPr>
        <w:t>Nadahnuta</w:t>
      </w:r>
      <w:r w:rsidRPr="00027CEA">
        <w:rPr>
          <w:rFonts w:eastAsia="Arial"/>
          <w:lang w:val="sr-Latn-RS"/>
        </w:rPr>
        <w:t xml:space="preserve"> sličnim programima u državama članicama EU, garancija za mlade </w:t>
      </w:r>
      <w:r w:rsidR="006872AB" w:rsidRPr="00027CEA">
        <w:rPr>
          <w:rFonts w:eastAsia="Arial"/>
          <w:lang w:val="sr-Latn-RS"/>
        </w:rPr>
        <w:t>znači obavezu</w:t>
      </w:r>
      <w:r w:rsidRPr="00027CEA">
        <w:rPr>
          <w:rFonts w:eastAsia="Arial"/>
          <w:lang w:val="sr-Latn-RS"/>
        </w:rPr>
        <w:t xml:space="preserve"> da </w:t>
      </w:r>
      <w:r w:rsidR="006872AB" w:rsidRPr="00027CEA">
        <w:rPr>
          <w:rFonts w:eastAsia="Arial"/>
          <w:lang w:val="sr-Latn-RS"/>
        </w:rPr>
        <w:t>se pruži podrška</w:t>
      </w:r>
      <w:r w:rsidRPr="00027CEA">
        <w:rPr>
          <w:rFonts w:eastAsia="Arial"/>
          <w:lang w:val="sr-Latn-RS"/>
        </w:rPr>
        <w:t xml:space="preserve"> svim </w:t>
      </w:r>
      <w:r w:rsidR="006872AB" w:rsidRPr="00027CEA">
        <w:rPr>
          <w:rFonts w:eastAsia="Arial"/>
          <w:lang w:val="sr-Latn-RS"/>
        </w:rPr>
        <w:t>osobama</w:t>
      </w:r>
      <w:r w:rsidRPr="00027CEA">
        <w:rPr>
          <w:rFonts w:eastAsia="Arial"/>
          <w:lang w:val="sr-Latn-RS"/>
        </w:rPr>
        <w:t xml:space="preserve"> mlađim od 30 godina koje nisu zaposlene ili nisu na školovanju ili osposobljavanju (tzv. NEET). Ova </w:t>
      </w:r>
      <w:r w:rsidR="00CD2C51">
        <w:rPr>
          <w:rFonts w:eastAsia="Arial"/>
          <w:lang w:val="sr-Latn-RS"/>
        </w:rPr>
        <w:t>opredeljenost</w:t>
      </w:r>
      <w:r w:rsidRPr="00027CEA">
        <w:rPr>
          <w:rFonts w:eastAsia="Arial"/>
          <w:lang w:val="sr-Latn-RS"/>
        </w:rPr>
        <w:t xml:space="preserve"> mladim ljudima </w:t>
      </w:r>
      <w:r w:rsidR="006872AB" w:rsidRPr="00027CEA">
        <w:rPr>
          <w:rFonts w:eastAsia="Arial"/>
          <w:lang w:val="sr-Latn-RS"/>
        </w:rPr>
        <w:t>daće</w:t>
      </w:r>
      <w:r w:rsidRPr="00027CEA">
        <w:rPr>
          <w:rFonts w:eastAsia="Arial"/>
          <w:lang w:val="sr-Latn-RS"/>
        </w:rPr>
        <w:t xml:space="preserve"> kvalitetnu ponudu </w:t>
      </w:r>
      <w:r w:rsidR="006872AB" w:rsidRPr="00027CEA">
        <w:rPr>
          <w:rFonts w:eastAsia="Arial"/>
          <w:lang w:val="sr-Latn-RS"/>
        </w:rPr>
        <w:t>poslova</w:t>
      </w:r>
      <w:r w:rsidRPr="00027CEA">
        <w:rPr>
          <w:rFonts w:eastAsia="Arial"/>
          <w:lang w:val="sr-Latn-RS"/>
        </w:rPr>
        <w:t xml:space="preserve">, pripravništva, učenja </w:t>
      </w:r>
      <w:r w:rsidR="006872AB" w:rsidRPr="00027CEA">
        <w:rPr>
          <w:rFonts w:eastAsia="Arial"/>
          <w:lang w:val="sr-Latn-RS"/>
        </w:rPr>
        <w:t>kroz</w:t>
      </w:r>
      <w:r w:rsidRPr="00027CEA">
        <w:rPr>
          <w:rFonts w:eastAsia="Arial"/>
          <w:lang w:val="sr-Latn-RS"/>
        </w:rPr>
        <w:t xml:space="preserve"> rad ili kontinuiranog osposobljavanja </w:t>
      </w:r>
      <w:r w:rsidR="006872AB" w:rsidRPr="00027CEA">
        <w:rPr>
          <w:rFonts w:eastAsia="Arial"/>
          <w:lang w:val="sr-Latn-RS"/>
        </w:rPr>
        <w:t>u trajanju od</w:t>
      </w:r>
      <w:r w:rsidRPr="00027CEA">
        <w:rPr>
          <w:rFonts w:eastAsia="Arial"/>
          <w:lang w:val="sr-Latn-RS"/>
        </w:rPr>
        <w:t xml:space="preserve"> četiri </w:t>
      </w:r>
      <w:r w:rsidR="00CD2C51" w:rsidRPr="00027CEA">
        <w:rPr>
          <w:rFonts w:eastAsia="Arial"/>
          <w:lang w:val="sr-Latn-RS"/>
        </w:rPr>
        <w:t>meseca</w:t>
      </w:r>
      <w:r w:rsidRPr="00027CEA">
        <w:rPr>
          <w:rFonts w:eastAsia="Arial"/>
          <w:lang w:val="sr-Latn-RS"/>
        </w:rPr>
        <w:t xml:space="preserve"> </w:t>
      </w:r>
      <w:r w:rsidR="006872AB" w:rsidRPr="00027CEA">
        <w:rPr>
          <w:rFonts w:eastAsia="Arial"/>
          <w:lang w:val="sr-Latn-RS"/>
        </w:rPr>
        <w:t>nakon</w:t>
      </w:r>
      <w:r w:rsidRPr="00027CEA">
        <w:rPr>
          <w:rFonts w:eastAsia="Arial"/>
          <w:lang w:val="sr-Latn-RS"/>
        </w:rPr>
        <w:t xml:space="preserve"> završetka škole ili gubitka posla. </w:t>
      </w:r>
    </w:p>
    <w:p w14:paraId="49F0B26C" w14:textId="00B29A26" w:rsidR="007A0A02" w:rsidRPr="00027CEA" w:rsidRDefault="00E526EB" w:rsidP="007A0A02">
      <w:pPr>
        <w:jc w:val="both"/>
        <w:rPr>
          <w:lang w:val="sr-Latn-RS"/>
        </w:rPr>
      </w:pPr>
      <w:r w:rsidRPr="00027CEA">
        <w:rPr>
          <w:rFonts w:eastAsia="Arial"/>
          <w:lang w:val="sr-Latn-RS"/>
        </w:rPr>
        <w:t>Podrška EK / MOR-a o</w:t>
      </w:r>
      <w:r w:rsidR="00AE274C">
        <w:rPr>
          <w:rFonts w:eastAsia="Arial"/>
          <w:lang w:val="sr-Latn-RS"/>
        </w:rPr>
        <w:t>buhvata prilagođavanje garancije</w:t>
      </w:r>
      <w:r w:rsidRPr="00027CEA">
        <w:rPr>
          <w:rFonts w:eastAsia="Arial"/>
          <w:lang w:val="sr-Latn-RS"/>
        </w:rPr>
        <w:t xml:space="preserve"> za mlade na Zapadnom Balkanu, </w:t>
      </w:r>
      <w:r w:rsidR="00AE274C">
        <w:rPr>
          <w:rFonts w:eastAsia="Arial"/>
          <w:lang w:val="sr-Latn-RS"/>
        </w:rPr>
        <w:t xml:space="preserve">kroz politiku, </w:t>
      </w:r>
      <w:r w:rsidRPr="00027CEA">
        <w:rPr>
          <w:rFonts w:eastAsia="Arial"/>
          <w:lang w:val="sr-Latn-RS"/>
        </w:rPr>
        <w:t xml:space="preserve">programiranje i praćenje podrške, naprednu obuku i </w:t>
      </w:r>
      <w:r w:rsidR="006872AB" w:rsidRPr="00027CEA">
        <w:rPr>
          <w:rFonts w:eastAsia="Arial"/>
          <w:lang w:val="sr-Latn-RS"/>
        </w:rPr>
        <w:t xml:space="preserve">uzajamno </w:t>
      </w:r>
      <w:r w:rsidRPr="00027CEA">
        <w:rPr>
          <w:rFonts w:eastAsia="Arial"/>
          <w:lang w:val="sr-Latn-RS"/>
        </w:rPr>
        <w:t xml:space="preserve"> učenje na </w:t>
      </w:r>
      <w:r w:rsidR="00CD2C51">
        <w:rPr>
          <w:rFonts w:eastAsia="Arial"/>
          <w:lang w:val="sr-Latn-RS"/>
        </w:rPr>
        <w:t>celom</w:t>
      </w:r>
      <w:r w:rsidRPr="00027CEA">
        <w:rPr>
          <w:rFonts w:eastAsia="Arial"/>
          <w:lang w:val="sr-Latn-RS"/>
        </w:rPr>
        <w:t xml:space="preserve"> Zapadnom Balkanu i u EU.  </w:t>
      </w:r>
    </w:p>
    <w:p w14:paraId="31F9C07D" w14:textId="764CCC97" w:rsidR="00595634" w:rsidRPr="00027CEA" w:rsidRDefault="00E526EB" w:rsidP="0043765F">
      <w:pPr>
        <w:jc w:val="both"/>
        <w:rPr>
          <w:rFonts w:eastAsia="Arial"/>
          <w:lang w:val="sr-Latn-RS"/>
        </w:rPr>
      </w:pPr>
      <w:r w:rsidRPr="00027CEA">
        <w:rPr>
          <w:rFonts w:eastAsia="Arial"/>
          <w:lang w:val="sr-Latn-RS"/>
        </w:rPr>
        <w:t xml:space="preserve">Instrument tehničke pomoći EK/MOR (TAF) uvodi se nakon drugog ministarskog sastanka na temu zapošljavanja i socijalnih </w:t>
      </w:r>
      <w:r w:rsidR="00033286" w:rsidRPr="00027CEA">
        <w:rPr>
          <w:rFonts w:eastAsia="Arial"/>
          <w:lang w:val="sr-Latn-RS"/>
        </w:rPr>
        <w:t>pitanja</w:t>
      </w:r>
      <w:r w:rsidRPr="00027CEA">
        <w:rPr>
          <w:rFonts w:eastAsia="Arial"/>
          <w:lang w:val="sr-Latn-RS"/>
        </w:rPr>
        <w:t xml:space="preserve">, koji je održan između EU i Zapadnog Balkana 8. jula, na kom su ministri i predstavnici </w:t>
      </w:r>
      <w:r w:rsidR="00033286" w:rsidRPr="00027CEA">
        <w:rPr>
          <w:rFonts w:eastAsia="Arial"/>
          <w:lang w:val="sr-Latn-RS"/>
        </w:rPr>
        <w:t>nadležni za pitanja zapošljavanja</w:t>
      </w:r>
      <w:r w:rsidRPr="00027CEA">
        <w:rPr>
          <w:rFonts w:eastAsia="Arial"/>
          <w:lang w:val="sr-Latn-RS"/>
        </w:rPr>
        <w:t xml:space="preserve"> prihvatili </w:t>
      </w:r>
      <w:hyperlink r:id="rId14" w:history="1">
        <w:r w:rsidRPr="00027CEA">
          <w:rPr>
            <w:rFonts w:eastAsia="Arial"/>
            <w:b/>
            <w:bCs/>
            <w:color w:val="00539B"/>
            <w:u w:val="single"/>
            <w:lang w:val="sr-Latn-RS"/>
          </w:rPr>
          <w:t>Deklaraciju o obezbeđivanju održive integracije mladih ljudi na tržište rada</w:t>
        </w:r>
      </w:hyperlink>
      <w:r w:rsidRPr="00027CEA">
        <w:rPr>
          <w:rFonts w:eastAsia="Arial"/>
          <w:b/>
          <w:bCs/>
          <w:color w:val="00539B"/>
          <w:u w:val="single"/>
          <w:lang w:val="sr-Latn-RS"/>
        </w:rPr>
        <w:t>.</w:t>
      </w:r>
      <w:r w:rsidRPr="00027CEA">
        <w:rPr>
          <w:rFonts w:eastAsia="Arial"/>
          <w:lang w:val="sr-Latn-RS"/>
        </w:rPr>
        <w:t xml:space="preserve"> U Deklaraciji se konstatuje nesrazmeran negativan uticaj pandemije </w:t>
      </w:r>
      <w:r w:rsidR="00027CEA" w:rsidRPr="00027CEA">
        <w:rPr>
          <w:rFonts w:eastAsia="Arial"/>
          <w:lang w:val="sr-Latn-RS"/>
        </w:rPr>
        <w:t>kovid</w:t>
      </w:r>
      <w:r w:rsidRPr="00027CEA">
        <w:rPr>
          <w:rFonts w:eastAsia="Arial"/>
          <w:lang w:val="sr-Latn-RS"/>
        </w:rPr>
        <w:t xml:space="preserve"> 19 na položaj mladih ljudi na tržištu rada i navodi opredeljenost </w:t>
      </w:r>
      <w:r w:rsidR="00033286" w:rsidRPr="00027CEA">
        <w:rPr>
          <w:rFonts w:eastAsia="Arial"/>
          <w:lang w:val="sr-Latn-RS"/>
        </w:rPr>
        <w:t>za postepeno</w:t>
      </w:r>
      <w:r w:rsidRPr="00027CEA">
        <w:rPr>
          <w:rFonts w:eastAsia="Arial"/>
          <w:lang w:val="sr-Latn-RS"/>
        </w:rPr>
        <w:t xml:space="preserve"> uvođenj</w:t>
      </w:r>
      <w:r w:rsidR="00033286" w:rsidRPr="00027CEA">
        <w:rPr>
          <w:rFonts w:eastAsia="Arial"/>
          <w:lang w:val="sr-Latn-RS"/>
        </w:rPr>
        <w:t>e</w:t>
      </w:r>
      <w:r w:rsidRPr="00027CEA">
        <w:rPr>
          <w:rFonts w:eastAsia="Arial"/>
          <w:lang w:val="sr-Latn-RS"/>
        </w:rPr>
        <w:t xml:space="preserve"> garancija za mlade u regionu. Deklaracija je nadahnuta </w:t>
      </w:r>
      <w:hyperlink r:id="rId15" w:history="1">
        <w:r w:rsidRPr="00027CEA">
          <w:rPr>
            <w:rFonts w:eastAsia="Arial"/>
            <w:b/>
            <w:bCs/>
            <w:color w:val="00539B"/>
            <w:u w:val="single"/>
            <w:lang w:val="sr-Latn-RS"/>
          </w:rPr>
          <w:t xml:space="preserve">Preporukom </w:t>
        </w:r>
        <w:r w:rsidR="00033286" w:rsidRPr="00027CEA">
          <w:rPr>
            <w:rFonts w:eastAsia="Arial"/>
            <w:b/>
            <w:bCs/>
            <w:color w:val="00539B"/>
            <w:u w:val="single"/>
            <w:lang w:val="sr-Latn-RS"/>
          </w:rPr>
          <w:t>Saveta</w:t>
        </w:r>
        <w:r w:rsidRPr="00027CEA">
          <w:rPr>
            <w:rFonts w:eastAsia="Arial"/>
            <w:b/>
            <w:bCs/>
            <w:color w:val="00539B"/>
            <w:u w:val="single"/>
            <w:lang w:val="sr-Latn-RS"/>
          </w:rPr>
          <w:t xml:space="preserve"> EU od 30. oktobra 2020 o lakšem prelasku u svet rada – jačanju Garancije za mlade</w:t>
        </w:r>
      </w:hyperlink>
      <w:r w:rsidRPr="00027CEA">
        <w:rPr>
          <w:rFonts w:eastAsia="Arial"/>
          <w:lang w:val="sr-Latn-RS"/>
        </w:rPr>
        <w:t>.</w:t>
      </w:r>
    </w:p>
    <w:p w14:paraId="555A3A6D" w14:textId="093FBA89" w:rsidR="00894DAD" w:rsidRPr="00027CEA" w:rsidRDefault="00E526EB" w:rsidP="00BE5DFC">
      <w:pPr>
        <w:jc w:val="both"/>
        <w:rPr>
          <w:lang w:val="sr-Latn-RS"/>
        </w:rPr>
      </w:pPr>
      <w:r w:rsidRPr="00027CEA">
        <w:rPr>
          <w:rFonts w:eastAsia="Arial"/>
          <w:lang w:val="sr-Latn-RS"/>
        </w:rPr>
        <w:t xml:space="preserve">Mladi ljudi snose najveći teret ekonomskih posledica pandemije </w:t>
      </w:r>
      <w:r w:rsidR="00027CEA" w:rsidRPr="00027CEA">
        <w:rPr>
          <w:rFonts w:eastAsia="Arial"/>
          <w:lang w:val="sr-Latn-RS"/>
        </w:rPr>
        <w:t>kovid</w:t>
      </w:r>
      <w:r w:rsidRPr="00027CEA">
        <w:rPr>
          <w:rFonts w:eastAsia="Arial"/>
          <w:lang w:val="sr-Latn-RS"/>
        </w:rPr>
        <w:t xml:space="preserve"> 19. Na globalnom nivou, </w:t>
      </w:r>
      <w:r w:rsidR="00CD2C51" w:rsidRPr="00027CEA">
        <w:rPr>
          <w:rFonts w:eastAsia="Arial"/>
          <w:lang w:val="sr-Latn-RS"/>
        </w:rPr>
        <w:t>zabeležen</w:t>
      </w:r>
      <w:r w:rsidRPr="00027CEA">
        <w:rPr>
          <w:rFonts w:eastAsia="Arial"/>
          <w:lang w:val="sr-Latn-RS"/>
        </w:rPr>
        <w:t xml:space="preserve"> je pad zaposlenosti mladih za 8,7% u 2020. godini, dok je kod odraslih taj pad iznosio 3,7%.  Analiza udela mladih koji nisu zaposleni ili na školovanju i osposobljavanju (NEET) daje sliku ukupne </w:t>
      </w:r>
      <w:r w:rsidR="00CD2C51" w:rsidRPr="00027CEA">
        <w:rPr>
          <w:rFonts w:eastAsia="Arial"/>
          <w:lang w:val="sr-Latn-RS"/>
        </w:rPr>
        <w:t>osetljivosti</w:t>
      </w:r>
      <w:r w:rsidRPr="00027CEA">
        <w:rPr>
          <w:rFonts w:eastAsia="Arial"/>
          <w:lang w:val="sr-Latn-RS"/>
        </w:rPr>
        <w:t xml:space="preserve"> položaja mladih na ekonomsku situaciju.  Jednostavno rečeno, ako stopa zaposlenosti pada, mora doći do </w:t>
      </w:r>
      <w:r w:rsidR="00492107" w:rsidRPr="00027CEA">
        <w:rPr>
          <w:rFonts w:eastAsia="Arial"/>
          <w:lang w:val="sr-Latn-RS"/>
        </w:rPr>
        <w:t xml:space="preserve">rasta </w:t>
      </w:r>
      <w:r w:rsidRPr="00027CEA">
        <w:rPr>
          <w:rFonts w:eastAsia="Arial"/>
          <w:lang w:val="sr-Latn-RS"/>
        </w:rPr>
        <w:t xml:space="preserve">ili stope NEET ili stope </w:t>
      </w:r>
      <w:r w:rsidR="00033286" w:rsidRPr="00027CEA">
        <w:rPr>
          <w:rFonts w:eastAsia="Arial"/>
          <w:lang w:val="sr-Latn-RS"/>
        </w:rPr>
        <w:t>školovanja</w:t>
      </w:r>
      <w:r w:rsidRPr="00027CEA">
        <w:rPr>
          <w:rFonts w:eastAsia="Arial"/>
          <w:lang w:val="sr-Latn-RS"/>
        </w:rPr>
        <w:t xml:space="preserve">. Jasno je da je, u principu, pad zaposlenosti </w:t>
      </w:r>
      <w:r w:rsidR="00CA5221" w:rsidRPr="00027CEA">
        <w:rPr>
          <w:rFonts w:eastAsia="Arial"/>
          <w:lang w:val="sr-Latn-RS"/>
        </w:rPr>
        <w:t xml:space="preserve">poželjnije amortizovati </w:t>
      </w:r>
      <w:r w:rsidR="00492107" w:rsidRPr="00027CEA">
        <w:rPr>
          <w:rFonts w:eastAsia="Arial"/>
          <w:lang w:val="sr-Latn-RS"/>
        </w:rPr>
        <w:t xml:space="preserve">većom stopom </w:t>
      </w:r>
      <w:r w:rsidRPr="00027CEA">
        <w:rPr>
          <w:rFonts w:eastAsia="Arial"/>
          <w:lang w:val="sr-Latn-RS"/>
        </w:rPr>
        <w:t>školovanj</w:t>
      </w:r>
      <w:r w:rsidR="00492107" w:rsidRPr="00027CEA">
        <w:rPr>
          <w:rFonts w:eastAsia="Arial"/>
          <w:lang w:val="sr-Latn-RS"/>
        </w:rPr>
        <w:t>a</w:t>
      </w:r>
      <w:r w:rsidRPr="00027CEA">
        <w:rPr>
          <w:rFonts w:eastAsia="Arial"/>
          <w:lang w:val="sr-Latn-RS"/>
        </w:rPr>
        <w:t xml:space="preserve"> nego </w:t>
      </w:r>
      <w:r w:rsidR="00492107" w:rsidRPr="00027CEA">
        <w:rPr>
          <w:rFonts w:eastAsia="Arial"/>
          <w:lang w:val="sr-Latn-RS"/>
        </w:rPr>
        <w:t>većom stopom</w:t>
      </w:r>
      <w:r w:rsidRPr="00027CEA">
        <w:rPr>
          <w:rFonts w:eastAsia="Arial"/>
          <w:lang w:val="sr-Latn-RS"/>
        </w:rPr>
        <w:t xml:space="preserve"> NEET. Međutim, na Zapadnom Balkanu, gubitak poslova i povećanje neaktivnosti </w:t>
      </w:r>
      <w:r w:rsidR="008677C2" w:rsidRPr="00027CEA">
        <w:rPr>
          <w:rFonts w:eastAsia="Arial"/>
          <w:lang w:val="sr-Latn-RS"/>
        </w:rPr>
        <w:t>generalno nisu praćeni</w:t>
      </w:r>
      <w:r w:rsidRPr="00027CEA">
        <w:rPr>
          <w:rFonts w:eastAsia="Arial"/>
          <w:lang w:val="sr-Latn-RS"/>
        </w:rPr>
        <w:t xml:space="preserve"> povrat</w:t>
      </w:r>
      <w:r w:rsidR="008677C2" w:rsidRPr="00027CEA">
        <w:rPr>
          <w:rFonts w:eastAsia="Arial"/>
          <w:lang w:val="sr-Latn-RS"/>
        </w:rPr>
        <w:t>kom</w:t>
      </w:r>
      <w:r w:rsidRPr="00027CEA">
        <w:rPr>
          <w:rFonts w:eastAsia="Arial"/>
          <w:lang w:val="sr-Latn-RS"/>
        </w:rPr>
        <w:t xml:space="preserve"> na školovanje. Na primer, u Crnoj Gori, četvoro od petoro mladih koji su ostali bez posla postali su neaktivni, a ne nezaposleni, ali se nisu vratili na školovanje. Stope NEET u ekonomijama Zapadnog Balkana ostale su</w:t>
      </w:r>
      <w:r w:rsidR="00CD2C51">
        <w:rPr>
          <w:rFonts w:eastAsia="Arial"/>
          <w:lang w:val="sr-Latn-RS"/>
        </w:rPr>
        <w:t>,</w:t>
      </w:r>
      <w:r w:rsidRPr="00027CEA">
        <w:rPr>
          <w:rFonts w:eastAsia="Arial"/>
          <w:lang w:val="sr-Latn-RS"/>
        </w:rPr>
        <w:t xml:space="preserve"> </w:t>
      </w:r>
      <w:r w:rsidR="00662F4F" w:rsidRPr="00027CEA">
        <w:rPr>
          <w:rFonts w:eastAsia="Arial"/>
          <w:lang w:val="sr-Latn-RS"/>
        </w:rPr>
        <w:t xml:space="preserve">tokom </w:t>
      </w:r>
      <w:r w:rsidR="00CD2C51">
        <w:rPr>
          <w:rFonts w:eastAsia="Arial"/>
          <w:lang w:val="sr-Latn-RS"/>
        </w:rPr>
        <w:t>cele</w:t>
      </w:r>
      <w:r w:rsidR="00662F4F" w:rsidRPr="00027CEA">
        <w:rPr>
          <w:rFonts w:eastAsia="Arial"/>
          <w:lang w:val="sr-Latn-RS"/>
        </w:rPr>
        <w:t xml:space="preserve"> 2020. godine</w:t>
      </w:r>
      <w:r w:rsidR="00CD2C51">
        <w:rPr>
          <w:rFonts w:eastAsia="Arial"/>
          <w:lang w:val="sr-Latn-RS"/>
        </w:rPr>
        <w:t>,</w:t>
      </w:r>
      <w:r w:rsidR="00662F4F" w:rsidRPr="00027CEA">
        <w:rPr>
          <w:rFonts w:eastAsia="Arial"/>
          <w:lang w:val="sr-Latn-RS"/>
        </w:rPr>
        <w:t xml:space="preserve"> </w:t>
      </w:r>
      <w:r w:rsidRPr="00027CEA">
        <w:rPr>
          <w:rFonts w:eastAsia="Arial"/>
          <w:lang w:val="sr-Latn-RS"/>
        </w:rPr>
        <w:t xml:space="preserve">iznad nivoa </w:t>
      </w:r>
      <w:r w:rsidR="00CD2C51">
        <w:rPr>
          <w:rFonts w:eastAsia="Arial"/>
          <w:lang w:val="sr-Latn-RS"/>
        </w:rPr>
        <w:t>zabeleženog</w:t>
      </w:r>
      <w:r w:rsidRPr="00027CEA">
        <w:rPr>
          <w:rFonts w:eastAsia="Arial"/>
          <w:lang w:val="sr-Latn-RS"/>
        </w:rPr>
        <w:t xml:space="preserve"> </w:t>
      </w:r>
      <w:r w:rsidR="00CD2C51">
        <w:rPr>
          <w:rFonts w:eastAsia="Arial"/>
          <w:lang w:val="sr-Latn-RS"/>
        </w:rPr>
        <w:t>pre</w:t>
      </w:r>
      <w:r w:rsidRPr="00027CEA">
        <w:rPr>
          <w:rFonts w:eastAsia="Arial"/>
          <w:lang w:val="sr-Latn-RS"/>
        </w:rPr>
        <w:t xml:space="preserve"> krize, iako je, u nekim slučajevima, došlo da pada u odnosu na najviše stope</w:t>
      </w:r>
      <w:r w:rsidR="00662F4F" w:rsidRPr="00027CEA">
        <w:rPr>
          <w:rFonts w:eastAsia="Arial"/>
          <w:lang w:val="sr-Latn-RS"/>
        </w:rPr>
        <w:t xml:space="preserve"> iz drugog </w:t>
      </w:r>
      <w:r w:rsidR="00917212" w:rsidRPr="00027CEA">
        <w:rPr>
          <w:rFonts w:eastAsia="Arial"/>
          <w:lang w:val="sr-Latn-RS"/>
        </w:rPr>
        <w:t>kvartala</w:t>
      </w:r>
      <w:r w:rsidRPr="00027CEA">
        <w:rPr>
          <w:rFonts w:eastAsia="Arial"/>
          <w:lang w:val="sr-Latn-RS"/>
        </w:rPr>
        <w:t xml:space="preserve"> 2020. godine zahvaljujući uvedenim </w:t>
      </w:r>
      <w:r w:rsidR="00CD2C51" w:rsidRPr="00027CEA">
        <w:rPr>
          <w:rFonts w:eastAsia="Arial"/>
          <w:lang w:val="sr-Latn-RS"/>
        </w:rPr>
        <w:t>merama</w:t>
      </w:r>
      <w:r w:rsidRPr="00027CEA">
        <w:rPr>
          <w:rFonts w:eastAsia="Arial"/>
          <w:lang w:val="sr-Latn-RS"/>
        </w:rPr>
        <w:t xml:space="preserve">. U Srbiji, svaka peta mlada osoba spada u kategoriju NEET, ali u nekim </w:t>
      </w:r>
      <w:r w:rsidR="00CD2C51">
        <w:rPr>
          <w:rFonts w:eastAsia="Arial"/>
          <w:lang w:val="sr-Latn-RS"/>
        </w:rPr>
        <w:t>d</w:t>
      </w:r>
      <w:r w:rsidRPr="00027CEA">
        <w:rPr>
          <w:rFonts w:eastAsia="Arial"/>
          <w:lang w:val="sr-Latn-RS"/>
        </w:rPr>
        <w:t xml:space="preserve">elovima regiona u toj kategoriji je čak svaka treća mlada osoba. </w:t>
      </w:r>
    </w:p>
    <w:p w14:paraId="0180383A" w14:textId="4547B854" w:rsidR="004A7A9A" w:rsidRPr="00027CEA" w:rsidRDefault="00E526EB" w:rsidP="00BE5DFC">
      <w:pPr>
        <w:jc w:val="both"/>
        <w:rPr>
          <w:rFonts w:eastAsia="Arial"/>
          <w:lang w:val="sr-Latn-RS"/>
        </w:rPr>
      </w:pPr>
      <w:r w:rsidRPr="00027CEA">
        <w:rPr>
          <w:rFonts w:eastAsia="Arial"/>
          <w:lang w:val="sr-Latn-RS"/>
        </w:rPr>
        <w:t xml:space="preserve">Međunarodna organizacija rada </w:t>
      </w:r>
      <w:hyperlink r:id="rId16" w:history="1">
        <w:r w:rsidRPr="00027CEA">
          <w:rPr>
            <w:rFonts w:eastAsia="Arial"/>
            <w:b/>
            <w:bCs/>
            <w:color w:val="00539B"/>
            <w:u w:val="single"/>
            <w:lang w:val="sr-Latn-RS"/>
          </w:rPr>
          <w:t>je</w:t>
        </w:r>
      </w:hyperlink>
      <w:r w:rsidR="00AE274C">
        <w:rPr>
          <w:rFonts w:eastAsia="Arial"/>
          <w:b/>
          <w:bCs/>
          <w:color w:val="00539B"/>
          <w:u w:val="single"/>
          <w:lang w:val="sr-Latn-RS"/>
        </w:rPr>
        <w:t xml:space="preserve"> pozvala</w:t>
      </w:r>
      <w:r w:rsidRPr="00027CEA">
        <w:rPr>
          <w:rFonts w:eastAsia="Arial"/>
          <w:lang w:val="sr-Latn-RS"/>
        </w:rPr>
        <w:t xml:space="preserve"> vlade da su potrebne </w:t>
      </w:r>
      <w:r w:rsidR="00CD2C51" w:rsidRPr="00027CEA">
        <w:rPr>
          <w:rFonts w:eastAsia="Arial"/>
          <w:lang w:val="sr-Latn-RS"/>
        </w:rPr>
        <w:t>mere</w:t>
      </w:r>
      <w:r w:rsidRPr="00027CEA">
        <w:rPr>
          <w:rFonts w:eastAsia="Arial"/>
          <w:lang w:val="sr-Latn-RS"/>
        </w:rPr>
        <w:t xml:space="preserve"> sa ciljem da se spreči da kratkoročan izlazak izlaska mladih sa tržišta rada </w:t>
      </w:r>
      <w:r w:rsidR="00662F4F" w:rsidRPr="00027CEA">
        <w:rPr>
          <w:rFonts w:eastAsia="Arial"/>
          <w:lang w:val="sr-Latn-RS"/>
        </w:rPr>
        <w:t>preraste</w:t>
      </w:r>
      <w:r w:rsidRPr="00027CEA">
        <w:rPr>
          <w:rFonts w:eastAsia="Arial"/>
          <w:lang w:val="sr-Latn-RS"/>
        </w:rPr>
        <w:t xml:space="preserve"> u </w:t>
      </w:r>
      <w:r w:rsidR="00662F4F" w:rsidRPr="00027CEA">
        <w:rPr>
          <w:rFonts w:eastAsia="Arial"/>
          <w:lang w:val="sr-Latn-RS"/>
        </w:rPr>
        <w:t>dugotrajnu</w:t>
      </w:r>
      <w:r w:rsidRPr="00027CEA">
        <w:rPr>
          <w:rFonts w:eastAsia="Arial"/>
          <w:lang w:val="sr-Latn-RS"/>
        </w:rPr>
        <w:t xml:space="preserve"> isključenost čitave generacije mladih ljudi. Uvođenje </w:t>
      </w:r>
      <w:r w:rsidRPr="00027CEA">
        <w:rPr>
          <w:rFonts w:eastAsia="Arial"/>
          <w:lang w:val="sr-Latn-RS"/>
        </w:rPr>
        <w:lastRenderedPageBreak/>
        <w:t xml:space="preserve">garancije za mlade moglo bi da pomogne da se izbegnu dugoročni učinci sa trajnim posledicama, tj. povećanje verovatnoće </w:t>
      </w:r>
      <w:r w:rsidR="00662F4F" w:rsidRPr="00027CEA">
        <w:rPr>
          <w:rFonts w:eastAsia="Arial"/>
          <w:lang w:val="sr-Latn-RS"/>
        </w:rPr>
        <w:t>da će biti nezaposleni ili neaktivni tokom dužeg perioda,</w:t>
      </w:r>
      <w:r w:rsidRPr="00027CEA">
        <w:rPr>
          <w:rFonts w:eastAsia="Arial"/>
          <w:lang w:val="sr-Latn-RS"/>
        </w:rPr>
        <w:t xml:space="preserve"> </w:t>
      </w:r>
      <w:r w:rsidR="00662F4F" w:rsidRPr="00027CEA">
        <w:rPr>
          <w:rFonts w:eastAsia="Arial"/>
          <w:lang w:val="sr-Latn-RS"/>
        </w:rPr>
        <w:t>da će zarađivati manje, te imati manju šansu da nađu kvalitetan posao.</w:t>
      </w:r>
    </w:p>
    <w:p w14:paraId="2EF9A745" w14:textId="156DECCD" w:rsidR="00BE5DFC" w:rsidRPr="00027CEA" w:rsidRDefault="00E526EB" w:rsidP="00BE5DFC">
      <w:pPr>
        <w:jc w:val="both"/>
        <w:rPr>
          <w:rFonts w:eastAsia="Arial"/>
          <w:lang w:val="sr-Latn-RS"/>
        </w:rPr>
      </w:pPr>
      <w:r w:rsidRPr="00027CEA">
        <w:rPr>
          <w:rFonts w:eastAsia="Arial"/>
          <w:lang w:val="sr-Latn-RS"/>
        </w:rPr>
        <w:t xml:space="preserve">Međunarodna organizacija rada je specijalizovana stručna agencija koja je na čelu </w:t>
      </w:r>
      <w:r w:rsidR="00EC6D2E">
        <w:rPr>
          <w:rFonts w:eastAsia="Arial"/>
          <w:lang w:val="sr-Latn-RS"/>
        </w:rPr>
        <w:t>rada</w:t>
      </w:r>
      <w:r w:rsidRPr="00027CEA">
        <w:rPr>
          <w:rFonts w:eastAsia="Arial"/>
          <w:lang w:val="sr-Latn-RS"/>
        </w:rPr>
        <w:t xml:space="preserve"> sistema Ujedinjenih nacija na zapošljavanju i svetu rada. Ovo partnerstvo sa Evropskom komisijom na podršci uvođenju garancija za mlade na Zapadnom Balkanu temelji se na prethodnom </w:t>
      </w:r>
      <w:hyperlink r:id="rId17" w:history="1">
        <w:r w:rsidRPr="00027CEA">
          <w:rPr>
            <w:rFonts w:eastAsia="Arial"/>
            <w:b/>
            <w:bCs/>
            <w:color w:val="00539B"/>
            <w:u w:val="single"/>
            <w:lang w:val="sr-Latn-RS"/>
          </w:rPr>
          <w:t>Zajedničkom radu Evropske komisije i Međunarodne organizacije rada na Garanciji za mlade</w:t>
        </w:r>
      </w:hyperlink>
      <w:r w:rsidRPr="00027CEA">
        <w:rPr>
          <w:rFonts w:eastAsia="Arial"/>
          <w:b/>
          <w:bCs/>
          <w:color w:val="00539B"/>
          <w:lang w:val="sr-Latn-RS"/>
        </w:rPr>
        <w:t xml:space="preserve"> </w:t>
      </w:r>
      <w:r w:rsidRPr="00027CEA">
        <w:rPr>
          <w:rFonts w:eastAsia="Arial"/>
          <w:color w:val="00539B"/>
          <w:lang w:val="sr-Latn-RS"/>
        </w:rPr>
        <w:t>u državama članicama EU u južnoj Evropi.</w:t>
      </w:r>
      <w:r w:rsidRPr="00027CEA">
        <w:rPr>
          <w:rFonts w:eastAsia="Arial"/>
          <w:lang w:val="sr-Latn-RS"/>
        </w:rPr>
        <w:t xml:space="preserve"> Doprinosi postizanju ciljeva utvrđenih  </w:t>
      </w:r>
      <w:hyperlink r:id="rId18" w:history="1">
        <w:r w:rsidRPr="00027CEA">
          <w:rPr>
            <w:rFonts w:eastAsia="Arial"/>
            <w:b/>
            <w:bCs/>
            <w:color w:val="00539B"/>
            <w:u w:val="single"/>
            <w:lang w:val="sr-Latn-RS"/>
          </w:rPr>
          <w:t>Ekonomskim i investicionim planom EU za Zapadni Balkan</w:t>
        </w:r>
      </w:hyperlink>
      <w:r w:rsidRPr="00027CEA">
        <w:rPr>
          <w:rFonts w:eastAsia="Arial"/>
          <w:b/>
          <w:bCs/>
          <w:lang w:val="sr-Latn-RS"/>
        </w:rPr>
        <w:t xml:space="preserve"> (EIP)</w:t>
      </w:r>
      <w:r w:rsidRPr="00027CEA">
        <w:rPr>
          <w:rFonts w:eastAsia="Arial"/>
          <w:lang w:val="sr-Latn-RS"/>
        </w:rPr>
        <w:t xml:space="preserve"> u oktobru 2020. EIP promoviše dugoročan ekonomski oporavak, zelenu i digitalnu tranziciju, regionalnu integraciju i konvergenciju ka Evropskoj uniji; uključuj</w:t>
      </w:r>
      <w:r w:rsidR="00EC6D2E">
        <w:rPr>
          <w:rFonts w:eastAsia="Arial"/>
          <w:lang w:val="sr-Latn-RS"/>
        </w:rPr>
        <w:t>e</w:t>
      </w:r>
      <w:r w:rsidRPr="00027CEA">
        <w:rPr>
          <w:rFonts w:eastAsia="Arial"/>
          <w:lang w:val="sr-Latn-RS"/>
        </w:rPr>
        <w:t xml:space="preserve"> i vodeću inicijativu u okviru Garancije za mlade sa ciljem da se mladim ljudima </w:t>
      </w:r>
      <w:r w:rsidR="00662F4F" w:rsidRPr="00027CEA">
        <w:rPr>
          <w:rFonts w:eastAsia="Arial"/>
          <w:lang w:val="sr-Latn-RS"/>
        </w:rPr>
        <w:t>omogući</w:t>
      </w:r>
      <w:r w:rsidRPr="00027CEA">
        <w:rPr>
          <w:rFonts w:eastAsia="Arial"/>
          <w:lang w:val="sr-Latn-RS"/>
        </w:rPr>
        <w:t xml:space="preserve"> bolja perspektiva i smanji odliv mozgova.</w:t>
      </w:r>
    </w:p>
    <w:sectPr w:rsidR="00BE5DFC" w:rsidRPr="00027CEA" w:rsidSect="00557819">
      <w:footerReference w:type="default" r:id="rId19"/>
      <w:pgSz w:w="11906" w:h="16838"/>
      <w:pgMar w:top="709" w:right="1080" w:bottom="1440" w:left="1080" w:header="142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CA7D9" w14:textId="77777777" w:rsidR="00E526EB" w:rsidRDefault="00E526EB">
      <w:pPr>
        <w:spacing w:after="0" w:line="240" w:lineRule="auto"/>
      </w:pPr>
      <w:r>
        <w:separator/>
      </w:r>
    </w:p>
  </w:endnote>
  <w:endnote w:type="continuationSeparator" w:id="0">
    <w:p w14:paraId="2EBDC649" w14:textId="77777777" w:rsidR="00E526EB" w:rsidRDefault="00E5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A476" w14:textId="77777777" w:rsidR="00A55A5F" w:rsidRDefault="00A55A5F" w:rsidP="00A55A5F">
    <w:pPr>
      <w:spacing w:line="240" w:lineRule="auto"/>
      <w:rPr>
        <w:iCs/>
        <w:color w:val="828286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CB9AF" w14:textId="77777777" w:rsidR="00E526EB" w:rsidRDefault="00E526EB">
      <w:pPr>
        <w:spacing w:after="0" w:line="240" w:lineRule="auto"/>
      </w:pPr>
      <w:r>
        <w:separator/>
      </w:r>
    </w:p>
  </w:footnote>
  <w:footnote w:type="continuationSeparator" w:id="0">
    <w:p w14:paraId="3BC93968" w14:textId="77777777" w:rsidR="00E526EB" w:rsidRDefault="00E5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646C1"/>
    <w:multiLevelType w:val="hybridMultilevel"/>
    <w:tmpl w:val="8D28CB1E"/>
    <w:lvl w:ilvl="0" w:tplc="3FB09F96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00539B"/>
      </w:rPr>
    </w:lvl>
    <w:lvl w:ilvl="1" w:tplc="A420F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A5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81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EC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E5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EC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4E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65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86236"/>
    <w:multiLevelType w:val="hybridMultilevel"/>
    <w:tmpl w:val="E4BEDDDE"/>
    <w:lvl w:ilvl="0" w:tplc="CDF27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83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6A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25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A7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09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6A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C1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C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D697F"/>
    <w:multiLevelType w:val="hybridMultilevel"/>
    <w:tmpl w:val="DF241464"/>
    <w:lvl w:ilvl="0" w:tplc="95D6A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CC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85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C3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47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20B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C4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C7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AE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8409A"/>
    <w:multiLevelType w:val="hybridMultilevel"/>
    <w:tmpl w:val="1C86980A"/>
    <w:lvl w:ilvl="0" w:tplc="9AB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EC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CD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C87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CF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B0F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2A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4E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A9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732DE"/>
    <w:multiLevelType w:val="hybridMultilevel"/>
    <w:tmpl w:val="6ECAAFAE"/>
    <w:lvl w:ilvl="0" w:tplc="15EE9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6C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869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40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80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AE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CA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47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8C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4F"/>
    <w:rsid w:val="00000BBE"/>
    <w:rsid w:val="00004A69"/>
    <w:rsid w:val="000207D7"/>
    <w:rsid w:val="00024EC3"/>
    <w:rsid w:val="00027CEA"/>
    <w:rsid w:val="00033286"/>
    <w:rsid w:val="00034CB0"/>
    <w:rsid w:val="00045345"/>
    <w:rsid w:val="000A2AE5"/>
    <w:rsid w:val="000B50F2"/>
    <w:rsid w:val="000C51F8"/>
    <w:rsid w:val="000D21C2"/>
    <w:rsid w:val="000E6523"/>
    <w:rsid w:val="000E7C2F"/>
    <w:rsid w:val="000F2FFE"/>
    <w:rsid w:val="000F6987"/>
    <w:rsid w:val="001121ED"/>
    <w:rsid w:val="0011756C"/>
    <w:rsid w:val="001179E6"/>
    <w:rsid w:val="0012392B"/>
    <w:rsid w:val="00130C68"/>
    <w:rsid w:val="001573B1"/>
    <w:rsid w:val="00162DB1"/>
    <w:rsid w:val="001733B5"/>
    <w:rsid w:val="001965B8"/>
    <w:rsid w:val="001A3128"/>
    <w:rsid w:val="001A48C8"/>
    <w:rsid w:val="001B14C5"/>
    <w:rsid w:val="001C76C8"/>
    <w:rsid w:val="001E17B8"/>
    <w:rsid w:val="001E3753"/>
    <w:rsid w:val="001E4F47"/>
    <w:rsid w:val="00206282"/>
    <w:rsid w:val="002127C4"/>
    <w:rsid w:val="00214605"/>
    <w:rsid w:val="00242D9E"/>
    <w:rsid w:val="00252FC3"/>
    <w:rsid w:val="00254446"/>
    <w:rsid w:val="00273E6C"/>
    <w:rsid w:val="002750ED"/>
    <w:rsid w:val="002C0EC9"/>
    <w:rsid w:val="002C254A"/>
    <w:rsid w:val="002C49F2"/>
    <w:rsid w:val="002E06D3"/>
    <w:rsid w:val="002E569A"/>
    <w:rsid w:val="003437AB"/>
    <w:rsid w:val="00345F84"/>
    <w:rsid w:val="00346D2D"/>
    <w:rsid w:val="00350A10"/>
    <w:rsid w:val="00367FB9"/>
    <w:rsid w:val="0038794A"/>
    <w:rsid w:val="00394517"/>
    <w:rsid w:val="003D5F2A"/>
    <w:rsid w:val="003E54A0"/>
    <w:rsid w:val="003E79A2"/>
    <w:rsid w:val="003F7DF6"/>
    <w:rsid w:val="004070CD"/>
    <w:rsid w:val="00415731"/>
    <w:rsid w:val="0042017B"/>
    <w:rsid w:val="0042022E"/>
    <w:rsid w:val="00434700"/>
    <w:rsid w:val="00435945"/>
    <w:rsid w:val="0043765F"/>
    <w:rsid w:val="0044113F"/>
    <w:rsid w:val="00444834"/>
    <w:rsid w:val="00452057"/>
    <w:rsid w:val="004627AB"/>
    <w:rsid w:val="004705A3"/>
    <w:rsid w:val="00472619"/>
    <w:rsid w:val="0047583B"/>
    <w:rsid w:val="00492107"/>
    <w:rsid w:val="004A6A91"/>
    <w:rsid w:val="004A7A9A"/>
    <w:rsid w:val="004C5E73"/>
    <w:rsid w:val="004D4282"/>
    <w:rsid w:val="004E06F8"/>
    <w:rsid w:val="0051764B"/>
    <w:rsid w:val="00523FFE"/>
    <w:rsid w:val="00525F72"/>
    <w:rsid w:val="00531119"/>
    <w:rsid w:val="00554582"/>
    <w:rsid w:val="00557819"/>
    <w:rsid w:val="005625AD"/>
    <w:rsid w:val="005631B0"/>
    <w:rsid w:val="00594277"/>
    <w:rsid w:val="00595634"/>
    <w:rsid w:val="005978DC"/>
    <w:rsid w:val="005A2140"/>
    <w:rsid w:val="005B0760"/>
    <w:rsid w:val="005F6EFB"/>
    <w:rsid w:val="00611E7E"/>
    <w:rsid w:val="0061797D"/>
    <w:rsid w:val="00633BF5"/>
    <w:rsid w:val="00635D16"/>
    <w:rsid w:val="00637EAA"/>
    <w:rsid w:val="00662F4F"/>
    <w:rsid w:val="00686384"/>
    <w:rsid w:val="006872AB"/>
    <w:rsid w:val="006A112E"/>
    <w:rsid w:val="006A3D4F"/>
    <w:rsid w:val="006D423F"/>
    <w:rsid w:val="006D5A09"/>
    <w:rsid w:val="007023B4"/>
    <w:rsid w:val="00702E1D"/>
    <w:rsid w:val="00725E61"/>
    <w:rsid w:val="00765267"/>
    <w:rsid w:val="00766322"/>
    <w:rsid w:val="007703D5"/>
    <w:rsid w:val="00783DEA"/>
    <w:rsid w:val="007A0A02"/>
    <w:rsid w:val="007B757C"/>
    <w:rsid w:val="007F2514"/>
    <w:rsid w:val="00811FFF"/>
    <w:rsid w:val="0081308B"/>
    <w:rsid w:val="00825FD7"/>
    <w:rsid w:val="00852CD7"/>
    <w:rsid w:val="008677C2"/>
    <w:rsid w:val="00867BE6"/>
    <w:rsid w:val="00871652"/>
    <w:rsid w:val="00894DAD"/>
    <w:rsid w:val="008F007F"/>
    <w:rsid w:val="008F31E0"/>
    <w:rsid w:val="00917212"/>
    <w:rsid w:val="0092559C"/>
    <w:rsid w:val="009276B2"/>
    <w:rsid w:val="009406A0"/>
    <w:rsid w:val="009621BB"/>
    <w:rsid w:val="00976C69"/>
    <w:rsid w:val="0099009D"/>
    <w:rsid w:val="00993DA5"/>
    <w:rsid w:val="009B0042"/>
    <w:rsid w:val="009D170B"/>
    <w:rsid w:val="009E1701"/>
    <w:rsid w:val="009E19A8"/>
    <w:rsid w:val="00A55A5F"/>
    <w:rsid w:val="00A67CBB"/>
    <w:rsid w:val="00AE274C"/>
    <w:rsid w:val="00AE2F68"/>
    <w:rsid w:val="00B136F4"/>
    <w:rsid w:val="00B2147B"/>
    <w:rsid w:val="00B70B49"/>
    <w:rsid w:val="00B755B1"/>
    <w:rsid w:val="00B81B1C"/>
    <w:rsid w:val="00B8296E"/>
    <w:rsid w:val="00BC47FE"/>
    <w:rsid w:val="00BE5DFC"/>
    <w:rsid w:val="00BF51E4"/>
    <w:rsid w:val="00C136CF"/>
    <w:rsid w:val="00C24F4B"/>
    <w:rsid w:val="00C304E5"/>
    <w:rsid w:val="00C65A07"/>
    <w:rsid w:val="00C7224C"/>
    <w:rsid w:val="00C74624"/>
    <w:rsid w:val="00C77004"/>
    <w:rsid w:val="00C85325"/>
    <w:rsid w:val="00C97931"/>
    <w:rsid w:val="00CA0B9A"/>
    <w:rsid w:val="00CA3AD3"/>
    <w:rsid w:val="00CA5221"/>
    <w:rsid w:val="00CA5EA1"/>
    <w:rsid w:val="00CB2523"/>
    <w:rsid w:val="00CC7067"/>
    <w:rsid w:val="00CD2C51"/>
    <w:rsid w:val="00D16C2A"/>
    <w:rsid w:val="00D260E0"/>
    <w:rsid w:val="00D34BA6"/>
    <w:rsid w:val="00D55031"/>
    <w:rsid w:val="00D57912"/>
    <w:rsid w:val="00D64CCE"/>
    <w:rsid w:val="00D75A4B"/>
    <w:rsid w:val="00DA10C7"/>
    <w:rsid w:val="00DC4D8C"/>
    <w:rsid w:val="00DD55AE"/>
    <w:rsid w:val="00DE56FF"/>
    <w:rsid w:val="00E05466"/>
    <w:rsid w:val="00E325B5"/>
    <w:rsid w:val="00E34125"/>
    <w:rsid w:val="00E43DE3"/>
    <w:rsid w:val="00E526EB"/>
    <w:rsid w:val="00E556A1"/>
    <w:rsid w:val="00E95E8E"/>
    <w:rsid w:val="00EC6D2E"/>
    <w:rsid w:val="00ED4E24"/>
    <w:rsid w:val="00F21107"/>
    <w:rsid w:val="00F275CB"/>
    <w:rsid w:val="00F331EF"/>
    <w:rsid w:val="00F420B3"/>
    <w:rsid w:val="00F42774"/>
    <w:rsid w:val="00F676FC"/>
    <w:rsid w:val="00F852B3"/>
    <w:rsid w:val="00F92D91"/>
    <w:rsid w:val="00F93952"/>
    <w:rsid w:val="00FD0CE2"/>
    <w:rsid w:val="00FE0B8D"/>
    <w:rsid w:val="00FE5345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B185B"/>
  <w15:docId w15:val="{B1170789-BA52-40AE-973C-CBF169A0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ED"/>
    <w:pPr>
      <w:suppressAutoHyphens/>
      <w:spacing w:after="120" w:line="260" w:lineRule="exac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uiPriority w:val="99"/>
    <w:qFormat/>
    <w:rsid w:val="0038794A"/>
    <w:pPr>
      <w:spacing w:line="240" w:lineRule="auto"/>
      <w:outlineLvl w:val="0"/>
    </w:pPr>
    <w:rPr>
      <w:b/>
      <w:color w:val="00539B" w:themeColor="accent6"/>
      <w:sz w:val="48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1BB"/>
    <w:pPr>
      <w:keepNext/>
      <w:suppressAutoHyphens w:val="0"/>
      <w:spacing w:after="0"/>
      <w:outlineLvl w:val="1"/>
    </w:pPr>
    <w:rPr>
      <w:rFonts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21BB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cs="Cambria"/>
      <w:b/>
      <w:bCs/>
      <w:color w:val="0079C1"/>
      <w:kern w:val="1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21BB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b/>
      <w:bCs/>
      <w:iCs/>
      <w:color w:val="7F7F7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8794A"/>
    <w:rPr>
      <w:rFonts w:ascii="Arial" w:hAnsi="Arial"/>
      <w:b/>
      <w:color w:val="00539B" w:themeColor="accent6"/>
      <w:sz w:val="48"/>
      <w:szCs w:val="56"/>
    </w:rPr>
  </w:style>
  <w:style w:type="character" w:customStyle="1" w:styleId="Heading2Char">
    <w:name w:val="Heading 2 Char"/>
    <w:link w:val="Heading2"/>
    <w:uiPriority w:val="99"/>
    <w:rsid w:val="009621BB"/>
    <w:rPr>
      <w:rFonts w:ascii="Arial" w:hAnsi="Arial" w:cs="Arial"/>
      <w:b/>
      <w:bCs/>
      <w:lang w:eastAsia="en-US"/>
    </w:rPr>
  </w:style>
  <w:style w:type="character" w:customStyle="1" w:styleId="Heading3Char">
    <w:name w:val="Heading 3 Char"/>
    <w:link w:val="Heading3"/>
    <w:uiPriority w:val="99"/>
    <w:rsid w:val="009621BB"/>
    <w:rPr>
      <w:rFonts w:ascii="Arial" w:hAnsi="Arial" w:cs="Cambria"/>
      <w:b/>
      <w:bCs/>
      <w:color w:val="0079C1"/>
      <w:kern w:val="1"/>
      <w:lang w:eastAsia="hi-IN" w:bidi="hi-IN"/>
    </w:rPr>
  </w:style>
  <w:style w:type="character" w:customStyle="1" w:styleId="Heading4Char">
    <w:name w:val="Heading 4 Char"/>
    <w:link w:val="Heading4"/>
    <w:uiPriority w:val="99"/>
    <w:rsid w:val="009621BB"/>
    <w:rPr>
      <w:rFonts w:ascii="Arial" w:hAnsi="Arial"/>
      <w:b/>
      <w:bCs/>
      <w:iCs/>
      <w:color w:val="7F7F7F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C49F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49F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C49F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49F2"/>
    <w:rPr>
      <w:rFonts w:ascii="Arial" w:hAnsi="Arial"/>
    </w:rPr>
  </w:style>
  <w:style w:type="table" w:styleId="TableGrid">
    <w:name w:val="Table Grid"/>
    <w:basedOn w:val="TableNormal"/>
    <w:uiPriority w:val="59"/>
    <w:rsid w:val="002C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9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9F2"/>
    <w:rPr>
      <w:color w:val="00539B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2523"/>
    <w:rPr>
      <w:color w:val="808080"/>
    </w:rPr>
  </w:style>
  <w:style w:type="paragraph" w:customStyle="1" w:styleId="Subhead">
    <w:name w:val="Subhead"/>
    <w:basedOn w:val="Normal"/>
    <w:link w:val="SubheadChar"/>
    <w:qFormat/>
    <w:rsid w:val="0038794A"/>
    <w:pPr>
      <w:spacing w:before="120" w:line="240" w:lineRule="auto"/>
    </w:pPr>
    <w:rPr>
      <w:rFonts w:cstheme="minorBidi"/>
      <w:b/>
      <w:color w:val="424244" w:themeColor="text1"/>
      <w:sz w:val="28"/>
      <w:szCs w:val="24"/>
    </w:rPr>
  </w:style>
  <w:style w:type="character" w:customStyle="1" w:styleId="SubheadChar">
    <w:name w:val="Subhead Char"/>
    <w:basedOn w:val="DefaultParagraphFont"/>
    <w:link w:val="Subhead"/>
    <w:rsid w:val="0038794A"/>
    <w:rPr>
      <w:rFonts w:ascii="Arial" w:hAnsi="Arial" w:cstheme="minorBidi"/>
      <w:b/>
      <w:color w:val="424244" w:themeColor="text1"/>
      <w:sz w:val="28"/>
      <w:szCs w:val="24"/>
    </w:rPr>
  </w:style>
  <w:style w:type="paragraph" w:customStyle="1" w:styleId="Image-align">
    <w:name w:val="Image-align"/>
    <w:basedOn w:val="Normal"/>
    <w:qFormat/>
    <w:rsid w:val="001121ED"/>
    <w:pPr>
      <w:spacing w:after="0" w:line="240" w:lineRule="auto"/>
    </w:pPr>
    <w:rPr>
      <w:noProof/>
    </w:rPr>
  </w:style>
  <w:style w:type="paragraph" w:customStyle="1" w:styleId="Caption1">
    <w:name w:val="Caption1"/>
    <w:basedOn w:val="Normal"/>
    <w:qFormat/>
    <w:rsid w:val="00C74624"/>
    <w:rPr>
      <w:color w:val="8C8C8F" w:themeColor="text1" w:themeTint="99"/>
    </w:rPr>
  </w:style>
  <w:style w:type="character" w:styleId="FollowedHyperlink">
    <w:name w:val="FollowedHyperlink"/>
    <w:basedOn w:val="DefaultParagraphFont"/>
    <w:uiPriority w:val="99"/>
    <w:semiHidden/>
    <w:unhideWhenUsed/>
    <w:rsid w:val="00434700"/>
    <w:rPr>
      <w:color w:val="BBFFF8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4C5E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2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F6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F6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F68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894DA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ec.europa.eu/neighbourhood-enlargement/sites/near/files/communication_on_wb_economic_and_investment_plan_october_2020_en.pdf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ilo.org/budapest" TargetMode="External"/><Relationship Id="rId17" Type="http://schemas.openxmlformats.org/officeDocument/2006/relationships/hyperlink" Target="https://www.ilo.org/employment/areas/youth-employment/WCMS_546601/lang--en/index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lo.org/wcmsp5/groups/public/@ed_emp/documents/briefingnote/wcms_795479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ur-lex.europa.eu/legal-content/EN/TXT/?uri=uriserv%3AOJ.C_.2020.372.01.0001.01.ENG&amp;toc=OJ%3AC%3A2020%3A372%3ATOC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lovenian-presidency.consilium.europa.eu/media/rpxozjjj/declaration_wb_labour_market_integration_young_people_final_agreed.pd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C4862A223F41EC8B4C69F9B9F88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B40D-C042-45CF-B9C6-A8243E7AE2FB}"/>
      </w:docPartPr>
      <w:docPartBody>
        <w:p w:rsidR="00F21107" w:rsidRDefault="006C7E03">
          <w:pPr>
            <w:pStyle w:val="6FC4862A223F41EC8B4C69F9B9F88C4C"/>
          </w:pPr>
          <w:r w:rsidRPr="00B8296E">
            <w:rPr>
              <w:rStyle w:val="PlaceholderText"/>
            </w:rPr>
            <w:t>[Publish Date]</w:t>
          </w:r>
        </w:p>
      </w:docPartBody>
    </w:docPart>
    <w:docPart>
      <w:docPartPr>
        <w:name w:val="AA1048763FDE4133AD207567AE9C7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AB42-3678-496E-A508-048577959FF9}"/>
      </w:docPartPr>
      <w:docPartBody>
        <w:p w:rsidR="00F21107" w:rsidRDefault="006C7E03">
          <w:pPr>
            <w:pStyle w:val="AA1048763FDE4133AD207567AE9C7FF6"/>
          </w:pPr>
          <w:r w:rsidRPr="00B8296E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HGMinchoB">
    <w:altName w:val="HG明朝B"/>
    <w:panose1 w:val="00000000000000000000"/>
    <w:charset w:val="8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07"/>
    <w:rsid w:val="00224D7D"/>
    <w:rsid w:val="003B340C"/>
    <w:rsid w:val="006C7E03"/>
    <w:rsid w:val="00770504"/>
    <w:rsid w:val="00D467C5"/>
    <w:rsid w:val="00F2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40C"/>
    <w:rPr>
      <w:color w:val="808080"/>
    </w:rPr>
  </w:style>
  <w:style w:type="paragraph" w:customStyle="1" w:styleId="6FC4862A223F41EC8B4C69F9B9F88C4C">
    <w:name w:val="6FC4862A223F41EC8B4C69F9B9F88C4C"/>
  </w:style>
  <w:style w:type="paragraph" w:customStyle="1" w:styleId="AA1048763FDE4133AD207567AE9C7FF6">
    <w:name w:val="AA1048763FDE4133AD207567AE9C7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EBRD">
      <a:dk1>
        <a:srgbClr val="424244"/>
      </a:dk1>
      <a:lt1>
        <a:srgbClr val="FFFFFF"/>
      </a:lt1>
      <a:dk2>
        <a:srgbClr val="00539B"/>
      </a:dk2>
      <a:lt2>
        <a:srgbClr val="BFE7FF"/>
      </a:lt2>
      <a:accent1>
        <a:srgbClr val="0079C1"/>
      </a:accent1>
      <a:accent2>
        <a:srgbClr val="00AE9E"/>
      </a:accent2>
      <a:accent3>
        <a:srgbClr val="5D245A"/>
      </a:accent3>
      <a:accent4>
        <a:srgbClr val="8C2245"/>
      </a:accent4>
      <a:accent5>
        <a:srgbClr val="D77700"/>
      </a:accent5>
      <a:accent6>
        <a:srgbClr val="00539B"/>
      </a:accent6>
      <a:hlink>
        <a:srgbClr val="00539B"/>
      </a:hlink>
      <a:folHlink>
        <a:srgbClr val="BBFFF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2021-07-20T00:00:00</PublishDate>
  <Abstract/>
  <CompanyAddress/>
  <CompanyPhone/>
  <CompanyFax/>
  <CompanyEmail/>
</CoverPageProperties>
</file>

<file path=customXml/item2.xml>
</file>

<file path=customXml/item3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id_classification_nonbusiness" value=""/>
  <element uid="214105f6-acd4-485a-afa0-a0b988f7534c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8B5B0F-45BE-4D26-BDAD-45FD90CCF510}"/>
</file>

<file path=customXml/itemProps3.xml><?xml version="1.0" encoding="utf-8"?>
<ds:datastoreItem xmlns:ds="http://schemas.openxmlformats.org/officeDocument/2006/customXml" ds:itemID="{BDC2934B-B2B6-46C7-9533-88EE3ECAE23E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2AF02BB1-D0E8-4952-BFB7-6276954D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Tomka</dc:creator>
  <cp:keywords>[EBRD/PUBLIC]</cp:keywords>
  <cp:lastModifiedBy>Murtezi, Blerim</cp:lastModifiedBy>
  <cp:revision>2</cp:revision>
  <cp:lastPrinted>2016-01-05T12:26:00Z</cp:lastPrinted>
  <dcterms:created xsi:type="dcterms:W3CDTF">2021-07-23T13:20:00Z</dcterms:created>
  <dcterms:modified xsi:type="dcterms:W3CDTF">2021-07-23T13:20:00Z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FieldCode">
    <vt:lpwstr>PUBLIC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4" name="bjDocumentLabelXML-0">
    <vt:lpwstr>ames.com/2008/01/sie/internal/label"&gt;&lt;element uid="id_classification_nonbusiness" value="" /&gt;&lt;element uid="214105f6-acd4-485a-afa0-a0b988f7534c" value="" /&gt;&lt;/sisl&gt;</vt:lpwstr>
  </property>
  <property fmtid="{D5CDD505-2E9C-101B-9397-08002B2CF9AE}" pid="5" name="bjDocumentSecurityLabel">
    <vt:lpwstr>PUBLIC</vt:lpwstr>
  </property>
  <property fmtid="{D5CDD505-2E9C-101B-9397-08002B2CF9AE}" pid="6" name="bjSaver">
    <vt:lpwstr>za+swgZqNs5XjS53ghVCaoTi9ckX4HgR</vt:lpwstr>
  </property>
  <property fmtid="{D5CDD505-2E9C-101B-9397-08002B2CF9AE}" pid="7" name="docIndexRef">
    <vt:lpwstr>a0fe7db8-2869-4d8d-8470-58e0a86e8948</vt:lpwstr>
  </property>
</Properties>
</file>